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DA" w:rsidRDefault="009332DA">
      <w:pPr>
        <w:widowControl/>
        <w:spacing w:after="0" w:line="240" w:lineRule="auto"/>
        <w:ind w:firstLine="708"/>
        <w:jc w:val="center"/>
        <w:rPr>
          <w:lang w:val="en-US"/>
        </w:rPr>
      </w:pPr>
    </w:p>
    <w:p w:rsidR="009332DA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О порядке установления и применения тарифов региональных операторов на коммунальную услугу по обращению с твердыми коммунальными отходами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Нормативно правовыми актами Российской Федерации определен срок перехода на новую систему обращения с твердыми коммунальными отходами не позднее 01 января 2019 года.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Во исполнение норм федерального  законодательства регулирующим органам субъектов Российской Федерации в установленный законодательством срок не позднее 20 декабря 2018 года необходимо было  установить единые тарифы для региональных операторов.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  <w:lang w:val="en-US"/>
        </w:rPr>
        <w:t xml:space="preserve">Территориальной схемой обращения с твердыми коммунальными отходами (далее – ТКО) территория области поделена на пять кластеров. По каждому кластеру в результате проведения конкурса определен свой региональный оператор. Управлением государственного регулирования цен и тарифов области (далее – управление) тарифы установлены в срок для каждого регионального оператора по каждому кластеру. 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7009"/>
        <w:gridCol w:w="2384"/>
      </w:tblGrid>
      <w:tr w:rsidR="009332DA">
        <w:tblPrEx>
          <w:tblCellMar>
            <w:top w:w="0" w:type="dxa"/>
            <w:bottom w:w="0" w:type="dxa"/>
          </w:tblCellMar>
        </w:tblPrEx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Кластера  </w:t>
            </w:r>
          </w:p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(зона деятельности регионального оператора)</w:t>
            </w:r>
          </w:p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Величина установленного предельного единого тарифа на услуги регионального оператора в сфере обращения с ТКО,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332DA">
        <w:tblPrEx>
          <w:tblCellMar>
            <w:top w:w="0" w:type="dxa"/>
            <w:bottom w:w="0" w:type="dxa"/>
          </w:tblCellMar>
        </w:tblPrEx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t>КЛАСТЕР №1 (г.Зея, г.Тында, Сковородинский район, Зейский район, Магдагачинский район, Тындинский район)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596,16</w:t>
            </w:r>
          </w:p>
        </w:tc>
      </w:tr>
      <w:tr w:rsidR="009332DA">
        <w:tblPrEx>
          <w:tblCellMar>
            <w:top w:w="0" w:type="dxa"/>
            <w:bottom w:w="0" w:type="dxa"/>
          </w:tblCellMar>
        </w:tblPrEx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t>КЛАСТЕР №2 (г.Белогорск, Белогорский район, Ромненский район, Серышевский район, Октябрьский район)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615,94</w:t>
            </w:r>
          </w:p>
        </w:tc>
      </w:tr>
      <w:tr w:rsidR="009332DA">
        <w:tblPrEx>
          <w:tblCellMar>
            <w:top w:w="0" w:type="dxa"/>
            <w:bottom w:w="0" w:type="dxa"/>
          </w:tblCellMar>
        </w:tblPrEx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t>КЛАСТЕР №3 (г.Райчихинск, п.г.т.Прогресс, Архаринский район, Бурейский район, Завитинский район, Константиновский район, Михайловский район)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516,92</w:t>
            </w:r>
          </w:p>
        </w:tc>
      </w:tr>
      <w:tr w:rsidR="009332DA">
        <w:tblPrEx>
          <w:tblCellMar>
            <w:top w:w="0" w:type="dxa"/>
            <w:bottom w:w="0" w:type="dxa"/>
          </w:tblCellMar>
        </w:tblPrEx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t>КЛАСТЕР №4 (г.Благовещенск, Благовещенский район, Ивановский район, Тамбовский район)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539,89</w:t>
            </w:r>
          </w:p>
        </w:tc>
      </w:tr>
      <w:tr w:rsidR="009332DA">
        <w:tblPrEx>
          <w:tblCellMar>
            <w:top w:w="0" w:type="dxa"/>
            <w:bottom w:w="0" w:type="dxa"/>
          </w:tblCellMar>
        </w:tblPrEx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t>КЛАСТЕР №5 (г.Свободный, г.Шимановск, Свободненский район, Шимановский район, Мазановский район, Селемджинский район, ЗАТО Циолковский)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580,95</w:t>
            </w:r>
          </w:p>
        </w:tc>
      </w:tr>
    </w:tbl>
    <w:p w:rsidR="009332DA" w:rsidRDefault="009332DA">
      <w:pPr>
        <w:widowControl/>
        <w:spacing w:after="0" w:line="240" w:lineRule="auto"/>
        <w:ind w:firstLine="708"/>
        <w:jc w:val="both"/>
        <w:rPr>
          <w:sz w:val="24"/>
          <w:szCs w:val="24"/>
        </w:rPr>
      </w:pPr>
    </w:p>
    <w:p w:rsidR="009332DA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Какие затраты входят в структуру тарифа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В соответствии с законодательством в структуру расходов региональных операторов  при установлении тарифов  включены расходы на захоронение ТКО, расходы на транспортировку ТКО, расходы регоператора на заключение договоров и прочие расходы на ведение хозяйственной деятельности. Более 80% в структуре расходов региональных операторов, на которые рассчитаны и установлены тарифы, занимают расходы на транспортирование ТКО. </w:t>
      </w:r>
    </w:p>
    <w:p w:rsidR="009332DA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Размер тарифов по сравнению с другими регионами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Управлением проведен анализ принятых тарифных решений для региональных операторов области в сравнении с тарифами региональных операторов других субъектов Российской Федерации. Установленные тарифы на территории Амурской области являются одними из минимальных. </w:t>
      </w:r>
    </w:p>
    <w:p w:rsidR="009332DA" w:rsidRDefault="009332DA">
      <w:pPr>
        <w:widowControl/>
        <w:spacing w:after="0" w:line="240" w:lineRule="auto"/>
        <w:jc w:val="both"/>
        <w:rPr>
          <w:lang w:val="en-US"/>
        </w:rPr>
      </w:pPr>
    </w:p>
    <w:p w:rsidR="009332DA" w:rsidRDefault="009332DA">
      <w:pPr>
        <w:widowControl/>
        <w:spacing w:after="0" w:line="240" w:lineRule="auto"/>
        <w:jc w:val="center"/>
        <w:rPr>
          <w:lang w:val="en-US"/>
        </w:rPr>
      </w:pP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*по Амурской области указан предельный единый тариф, установленный для регионального оператора по кластеру 2, поскольку является самым высоким в сравнении с тарифами, установленными для региональных операторов области по другим кластерам.   </w:t>
      </w:r>
    </w:p>
    <w:p w:rsidR="009332DA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Изменение платежа за ТКО по сравнению с 2018 годом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Путем сравнения платы за вывоз ТКО в действующих условиях и платы, рассчитанной исходя из утвержденных тарифов для региональных операторов и нормативов накопления ТКО проведен анализ изменения размера платежа граждан за коммунальные услуги при переходе к новой системе обращения с ТКО. 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Размер  платы в зависимости от кластера составит от 247,04 рублей до 294,36 рублей  в месяц в расчете на условную квартиру (54 квадратных метра) в многоквартирных домах и от 123,52 рублей до 147,18 рублей в месяц в жилых домах в расчете на жилое помещение площадью 54 квадратных метра.</w:t>
      </w:r>
    </w:p>
    <w:p w:rsidR="009332DA" w:rsidRDefault="009332DA">
      <w:pPr>
        <w:widowControl/>
        <w:spacing w:after="0" w:line="240" w:lineRule="auto"/>
        <w:jc w:val="both"/>
        <w:rPr>
          <w:lang w:val="en-US"/>
        </w:rPr>
      </w:pP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расчете на условную однокомнатную квартиру площадью 33 квадратных метра  от 150,97 рублей до 179,89 рублей в месяц в многоквартирных домах и от 75,49 рублей до 89,95 рублей в месяц в жилых домах в расчете на жилое помещение площадью 33 квадратных метра.</w:t>
      </w:r>
      <w:r>
        <w:rPr>
          <w:color w:val="FFFFFF"/>
          <w:sz w:val="28"/>
          <w:szCs w:val="28"/>
          <w:lang w:val="en-US"/>
        </w:rPr>
        <w:t xml:space="preserve"> </w:t>
      </w:r>
    </w:p>
    <w:p w:rsidR="009332DA" w:rsidRDefault="009332DA">
      <w:pPr>
        <w:widowControl/>
        <w:spacing w:after="0" w:line="240" w:lineRule="auto"/>
        <w:jc w:val="both"/>
        <w:rPr>
          <w:lang w:val="en-US"/>
        </w:rPr>
      </w:pP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Рост в зависимости от  применяемых в 2018 году в муниципальных образованиях области цен и нормативов, которые учитывались в составе платежа за жилищные услуги и не подлежали государственному регулированию, составит по многоквартирным домам (в расчете на условную квартиру 54 квадратных метра) - от 13,88 рублей до 214,01 рублей.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 жилым домам платеж составит (в расчете на жилое помещение площадью 54 квадратных метра)  от 123,52 рублей до 147,18 рублей в месяц, в том числе по кластерам:</w:t>
      </w:r>
      <w:r>
        <w:t xml:space="preserve"> </w:t>
      </w:r>
    </w:p>
    <w:p w:rsidR="009332DA" w:rsidRDefault="009332DA">
      <w:pPr>
        <w:widowControl/>
        <w:spacing w:after="0" w:line="240" w:lineRule="auto"/>
        <w:jc w:val="both"/>
        <w:rPr>
          <w:lang w:val="en-US"/>
        </w:rPr>
      </w:pPr>
    </w:p>
    <w:p w:rsidR="009332DA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Как повлияет изменение платы за ТКО на размер </w:t>
      </w:r>
    </w:p>
    <w:p w:rsidR="009332DA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 совокупной платы за коммунальные услуги  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структуре совокупной платы за коммунальные услуги плата за услугу по обращению в сфере ТКО занимает небольшой удельный вес (на примере условной квартиры площадью 54 квадратных метра - 4%):</w:t>
      </w:r>
    </w:p>
    <w:p w:rsidR="009332DA" w:rsidRDefault="009332DA">
      <w:pPr>
        <w:widowControl/>
        <w:spacing w:after="0" w:line="240" w:lineRule="auto"/>
        <w:jc w:val="both"/>
        <w:rPr>
          <w:lang w:val="en-US"/>
        </w:rPr>
      </w:pP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связи с тем, что в структуре совокупного коммунального платежа плата за ТКО занимает небольшой удельный вес, рост совокупного платежа за коммунальные услуги с 01 апреля 2019 года с учетом платы за ТКО составит на примере условной квартиры – от 0,9 до 3,5%.</w:t>
      </w:r>
    </w:p>
    <w:p w:rsidR="009332DA" w:rsidRDefault="009332DA">
      <w:pPr>
        <w:widowControl/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С какого времени за ТКО необходимо будет платить </w:t>
      </w:r>
    </w:p>
    <w:p w:rsidR="009332DA" w:rsidRDefault="009332DA">
      <w:pPr>
        <w:widowControl/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региональному оператору </w:t>
      </w:r>
    </w:p>
    <w:p w:rsidR="009332DA" w:rsidRDefault="009332DA">
      <w:pPr>
        <w:widowControl/>
        <w:spacing w:after="0" w:line="240" w:lineRule="auto"/>
        <w:ind w:firstLine="53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Согласно соглашениям, заключенным в рамках Федерального закона от 24.06.1998 № 89-ФЗ «Об отходах производства и потребления» между Министерством жилищно - коммунального хозяйства области и региональными операторами обязательства по сбору, вывозу, транспортировке твердых коммунальных отходов отложены сроком на 3 месяца, т.е. до 1 апреля 2019 года. </w:t>
      </w:r>
    </w:p>
    <w:p w:rsidR="009332DA" w:rsidRDefault="009332DA">
      <w:pPr>
        <w:widowControl/>
        <w:spacing w:after="0" w:line="24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Таким образом, обязанность по внесению платы </w:t>
      </w:r>
      <w:r>
        <w:rPr>
          <w:b/>
          <w:bCs/>
          <w:sz w:val="28"/>
          <w:szCs w:val="28"/>
          <w:lang w:val="en-US"/>
        </w:rPr>
        <w:t>за коммунальную услугу по обращению с твердыми коммунальными отходами</w:t>
      </w:r>
      <w:r>
        <w:rPr>
          <w:sz w:val="28"/>
          <w:szCs w:val="28"/>
          <w:lang w:val="en-US"/>
        </w:rPr>
        <w:t xml:space="preserve"> наступает с 1 апреля 2019 года.</w:t>
      </w:r>
    </w:p>
    <w:p w:rsidR="009332DA" w:rsidRDefault="009332DA">
      <w:pPr>
        <w:widowControl/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Как правильно рассчитать плату за ТКО</w:t>
      </w:r>
    </w:p>
    <w:p w:rsidR="009332DA" w:rsidRDefault="009332DA">
      <w:pPr>
        <w:widowControl/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с 1 апреля 2019 года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  <w:lang w:val="en-US"/>
        </w:rPr>
        <w:t>Размер платы за ТКО с 1 апреля 2019 года определяется по формуле: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1618"/>
        <w:gridCol w:w="1560"/>
        <w:gridCol w:w="416"/>
        <w:gridCol w:w="1635"/>
        <w:gridCol w:w="628"/>
        <w:gridCol w:w="1851"/>
        <w:gridCol w:w="73"/>
        <w:gridCol w:w="567"/>
        <w:gridCol w:w="1401"/>
      </w:tblGrid>
      <w:tr w:rsidR="009332DA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Формула: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Плата за услугу Регионального оператора,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Предельный единый тариф регионального оператора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Норматив накопления ТКО</w:t>
            </w:r>
          </w:p>
        </w:tc>
        <w:tc>
          <w:tcPr>
            <w:tcW w:w="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жилого помещения</w:t>
            </w:r>
          </w:p>
        </w:tc>
      </w:tr>
      <w:tr w:rsidR="009332DA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32DA" w:rsidRDefault="009332DA">
            <w:pPr>
              <w:widowControl/>
              <w:spacing w:after="0" w:line="240" w:lineRule="auto"/>
              <w:ind w:firstLine="73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Расчет размера платы за ТКО по каждому кластеру приведен ниже на примере условной квартиры площадью 54 м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9332DA" w:rsidRDefault="009332DA">
            <w:pPr>
              <w:widowControl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32DA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расчета</w:t>
            </w:r>
            <w:r>
              <w:rPr>
                <w:sz w:val="20"/>
                <w:szCs w:val="20"/>
                <w:lang w:val="en-US"/>
              </w:rPr>
              <w:t xml:space="preserve"> по Кластеру № 1</w:t>
            </w:r>
            <w:r>
              <w:rPr>
                <w:sz w:val="20"/>
                <w:szCs w:val="20"/>
              </w:rPr>
              <w:t>:</w:t>
            </w:r>
          </w:p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284,90</w:t>
            </w:r>
            <w:r>
              <w:rPr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596,16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/мес.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6F07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расчета</w:t>
            </w:r>
            <w:r>
              <w:rPr>
                <w:sz w:val="20"/>
                <w:szCs w:val="20"/>
                <w:lang w:val="en-US"/>
              </w:rPr>
              <w:t xml:space="preserve"> по Кластеру № 2</w:t>
            </w:r>
            <w:r>
              <w:rPr>
                <w:sz w:val="20"/>
                <w:szCs w:val="20"/>
              </w:rPr>
              <w:t>:</w:t>
            </w:r>
          </w:p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294,36</w:t>
            </w:r>
            <w:r>
              <w:rPr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615,94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/мес.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6F07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расчета</w:t>
            </w:r>
            <w:r>
              <w:rPr>
                <w:sz w:val="20"/>
                <w:szCs w:val="20"/>
                <w:lang w:val="en-US"/>
              </w:rPr>
              <w:t xml:space="preserve"> по Кластеру № 3</w:t>
            </w:r>
            <w:r>
              <w:rPr>
                <w:sz w:val="20"/>
                <w:szCs w:val="20"/>
              </w:rPr>
              <w:t>:</w:t>
            </w:r>
          </w:p>
          <w:p w:rsidR="006D6F07" w:rsidRDefault="006D6F07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247,04</w:t>
            </w:r>
            <w:r>
              <w:rPr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516,92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/мес.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6F07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расчета</w:t>
            </w:r>
            <w:r>
              <w:rPr>
                <w:sz w:val="20"/>
                <w:szCs w:val="20"/>
                <w:lang w:val="en-US"/>
              </w:rPr>
              <w:t xml:space="preserve"> по Кластеру № 4</w:t>
            </w:r>
            <w:r>
              <w:rPr>
                <w:sz w:val="20"/>
                <w:szCs w:val="20"/>
              </w:rPr>
              <w:t>:</w:t>
            </w:r>
          </w:p>
          <w:p w:rsidR="006D6F07" w:rsidRDefault="006D6F07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258,01</w:t>
            </w:r>
            <w:r>
              <w:rPr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539,89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/мес.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6F07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расчета</w:t>
            </w:r>
            <w:r>
              <w:rPr>
                <w:sz w:val="20"/>
                <w:szCs w:val="20"/>
                <w:lang w:val="en-US"/>
              </w:rPr>
              <w:t xml:space="preserve"> по Кластеру № 5</w:t>
            </w:r>
            <w:r>
              <w:rPr>
                <w:sz w:val="20"/>
                <w:szCs w:val="20"/>
              </w:rPr>
              <w:t>:</w:t>
            </w:r>
          </w:p>
          <w:p w:rsidR="006D6F07" w:rsidRDefault="006D6F07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277,64</w:t>
            </w:r>
            <w:r>
              <w:rPr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580,95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/мес.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6D6F07" w:rsidRDefault="006D6F07">
      <w:pPr>
        <w:widowControl/>
        <w:spacing w:after="0" w:line="240" w:lineRule="auto"/>
        <w:ind w:firstLine="708"/>
        <w:jc w:val="both"/>
        <w:rPr>
          <w:sz w:val="24"/>
          <w:szCs w:val="24"/>
        </w:rPr>
      </w:pPr>
    </w:p>
    <w:p w:rsidR="006D6F07" w:rsidRDefault="006D6F07">
      <w:pPr>
        <w:pStyle w:val="a5"/>
        <w:widowControl/>
        <w:spacing w:before="144" w:after="144"/>
      </w:pPr>
    </w:p>
    <w:sectPr w:rsidR="006D6F07">
      <w:type w:val="continuous"/>
      <w:pgSz w:w="11905" w:h="16837"/>
      <w:pgMar w:top="850" w:right="850" w:bottom="623" w:left="1701" w:header="0" w:footer="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332DA"/>
    <w:rsid w:val="006D6F07"/>
    <w:rsid w:val="00931F6C"/>
    <w:rsid w:val="009332DA"/>
    <w:rsid w:val="0093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character" w:styleId="a3">
    <w:name w:val="Hyperlink"/>
    <w:basedOn w:val="a0"/>
    <w:uiPriority w:val="99"/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ding1">
    <w:name w:val="Heading 1"/>
    <w:basedOn w:val="a"/>
    <w:next w:val="a"/>
    <w:uiPriority w:val="99"/>
    <w:pPr>
      <w:spacing w:before="440" w:after="60" w:line="240" w:lineRule="auto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Heading2">
    <w:name w:val="Heading 2"/>
    <w:basedOn w:val="a"/>
    <w:next w:val="a"/>
    <w:uiPriority w:val="99"/>
    <w:pPr>
      <w:spacing w:before="440" w:after="60" w:line="240" w:lineRule="auto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ding4">
    <w:name w:val="Heading 4"/>
    <w:basedOn w:val="a"/>
    <w:next w:val="a"/>
    <w:uiPriority w:val="99"/>
    <w:pPr>
      <w:spacing w:before="440" w:after="60" w:line="240" w:lineRule="auto"/>
    </w:pPr>
    <w:rPr>
      <w:rFonts w:ascii="Liberation Sans" w:hAnsi="Liberation Sans" w:cs="Liberation Sans"/>
      <w:b/>
      <w:bCs/>
      <w:sz w:val="24"/>
      <w:szCs w:val="24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4">
    <w:name w:val="Block Text"/>
    <w:basedOn w:val="a"/>
    <w:uiPriority w:val="99"/>
    <w:pPr>
      <w:spacing w:after="120" w:line="240" w:lineRule="auto"/>
      <w:ind w:left="1440" w:right="1440"/>
    </w:pPr>
    <w:rPr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 w:line="240" w:lineRule="auto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Text">
    <w:name w:val="Footnote Text"/>
    <w:basedOn w:val="a"/>
    <w:uiPriority w:val="99"/>
    <w:pPr>
      <w:spacing w:after="0" w:line="240" w:lineRule="auto"/>
    </w:pPr>
    <w:rPr>
      <w:sz w:val="20"/>
      <w:szCs w:val="20"/>
    </w:rPr>
  </w:style>
  <w:style w:type="paragraph" w:customStyle="1" w:styleId="Heading3">
    <w:name w:val="Heading 3"/>
    <w:basedOn w:val="a"/>
    <w:next w:val="a"/>
    <w:uiPriority w:val="99"/>
    <w:pPr>
      <w:spacing w:before="440" w:after="60" w:line="240" w:lineRule="auto"/>
    </w:pPr>
    <w:rPr>
      <w:rFonts w:ascii="Liberation Sans" w:hAnsi="Liberation Sans" w:cs="Liberation Sans"/>
      <w:b/>
      <w:bCs/>
      <w:sz w:val="24"/>
      <w:szCs w:val="24"/>
    </w:rPr>
  </w:style>
  <w:style w:type="paragraph" w:styleId="a5">
    <w:name w:val="Normal (Web)"/>
    <w:basedOn w:val="Normal"/>
    <w:uiPriority w:val="99"/>
    <w:pPr>
      <w:spacing w:before="100" w:after="100"/>
    </w:p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ormal">
    <w:name w:val="_Normal"/>
    <w:basedOn w:val="a"/>
    <w:uiPriority w:val="99"/>
    <w:pPr>
      <w:spacing w:after="0" w:line="240" w:lineRule="auto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6">
    <w:name w:val="Plain Text"/>
    <w:basedOn w:val="a"/>
    <w:link w:val="a7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styleId="a8">
    <w:name w:val="Balloon Text"/>
    <w:basedOn w:val="Normal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  <w:style w:type="character" w:customStyle="1" w:styleId="pt-a0-000012">
    <w:name w:val="pt-a0-000012"/>
    <w:basedOn w:val="a0"/>
    <w:uiPriority w:val="99"/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Endnote">
    <w:name w:val="Endnote"/>
    <w:basedOn w:val="a"/>
    <w:uiPriority w:val="99"/>
    <w:pPr>
      <w:spacing w:after="0" w:line="240" w:lineRule="auto"/>
      <w:ind w:left="288" w:hanging="288"/>
    </w:pPr>
    <w:rPr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pPr>
      <w:spacing w:after="0" w:line="240" w:lineRule="auto"/>
      <w:ind w:left="720" w:hanging="431"/>
    </w:pPr>
    <w:rPr>
      <w:sz w:val="24"/>
      <w:szCs w:val="24"/>
    </w:rPr>
  </w:style>
  <w:style w:type="character" w:customStyle="1" w:styleId="FootnoteReference">
    <w:name w:val="Footnote Reference"/>
    <w:uiPriority w:val="99"/>
    <w:rPr>
      <w:sz w:val="20"/>
      <w:szCs w:val="20"/>
      <w:vertAlign w:val="superscript"/>
    </w:rPr>
  </w:style>
  <w:style w:type="paragraph" w:customStyle="1" w:styleId="EndnoteText">
    <w:name w:val="Endnote Text"/>
    <w:basedOn w:val="a"/>
    <w:uiPriority w:val="99"/>
    <w:pPr>
      <w:spacing w:after="0" w:line="240" w:lineRule="auto"/>
    </w:pPr>
    <w:rPr>
      <w:sz w:val="24"/>
      <w:szCs w:val="24"/>
    </w:rPr>
  </w:style>
  <w:style w:type="character" w:customStyle="1" w:styleId="EndnoteReference">
    <w:name w:val="Endnote Reference"/>
    <w:uiPriority w:val="99"/>
    <w:rPr>
      <w:sz w:val="20"/>
      <w:szCs w:val="20"/>
      <w:vertAlign w:val="superscript"/>
    </w:rPr>
  </w:style>
  <w:style w:type="paragraph" w:customStyle="1" w:styleId="NumberedHeading1">
    <w:name w:val="Numbered Heading 1"/>
    <w:basedOn w:val="Heading1"/>
    <w:next w:val="a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a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a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Footnote">
    <w:name w:val="Footnote"/>
    <w:basedOn w:val="a"/>
    <w:uiPriority w:val="99"/>
    <w:pPr>
      <w:spacing w:after="0" w:line="240" w:lineRule="auto"/>
      <w:ind w:left="288" w:hanging="288"/>
    </w:pPr>
    <w:rPr>
      <w:sz w:val="20"/>
      <w:szCs w:val="20"/>
    </w:rPr>
  </w:style>
  <w:style w:type="paragraph" w:customStyle="1" w:styleId="Contents1">
    <w:name w:val="Contents 1"/>
    <w:basedOn w:val="a"/>
    <w:next w:val="a"/>
    <w:uiPriority w:val="99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Contents3">
    <w:name w:val="Contents 3"/>
    <w:basedOn w:val="a"/>
    <w:next w:val="a"/>
    <w:uiPriority w:val="99"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spacing w:after="0" w:line="240" w:lineRule="auto"/>
      <w:ind w:left="2880" w:hanging="43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5234</Characters>
  <Application>Microsoft Office Word</Application>
  <DocSecurity>0</DocSecurity>
  <Lines>43</Lines>
  <Paragraphs>12</Paragraphs>
  <ScaleCrop>false</ScaleCrop>
  <Company>WolfishLair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установления и применения тарифов региональных операторов на коммунальную услугу по обращению с твердыми коммунальными отходами</dc:title>
  <dc:creator>Ковалевская</dc:creator>
  <cp:lastModifiedBy>haleeva</cp:lastModifiedBy>
  <cp:revision>2</cp:revision>
  <dcterms:created xsi:type="dcterms:W3CDTF">2019-02-19T03:39:00Z</dcterms:created>
  <dcterms:modified xsi:type="dcterms:W3CDTF">2019-02-19T03:39:00Z</dcterms:modified>
</cp:coreProperties>
</file>